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77" w:rsidRPr="006F7F0B" w:rsidRDefault="006F7F0B" w:rsidP="00E41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B">
        <w:rPr>
          <w:rFonts w:ascii="Times New Roman" w:hAnsi="Times New Roman" w:cs="Times New Roman"/>
          <w:b/>
          <w:sz w:val="24"/>
          <w:szCs w:val="24"/>
        </w:rPr>
        <w:t>CONSILIUL JUDETEAN ILFOV</w:t>
      </w:r>
    </w:p>
    <w:p w:rsidR="006F7F0B" w:rsidRPr="006F7F0B" w:rsidRDefault="006F7F0B" w:rsidP="00E41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B">
        <w:rPr>
          <w:rFonts w:ascii="Times New Roman" w:hAnsi="Times New Roman" w:cs="Times New Roman"/>
          <w:b/>
          <w:sz w:val="24"/>
          <w:szCs w:val="24"/>
        </w:rPr>
        <w:t>CENTRUL JUDETEAN PENTRU CONSERVAREA SI PROMOVAREA CULTURII TRADITIONALE ILFOV</w:t>
      </w:r>
    </w:p>
    <w:p w:rsidR="006F7F0B" w:rsidRDefault="006F7F0B" w:rsidP="006F7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F0B" w:rsidRPr="001808E5" w:rsidRDefault="006F7F0B" w:rsidP="00E41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5">
        <w:rPr>
          <w:rFonts w:ascii="Times New Roman" w:hAnsi="Times New Roman" w:cs="Times New Roman"/>
          <w:b/>
          <w:sz w:val="24"/>
          <w:szCs w:val="24"/>
        </w:rPr>
        <w:t>METODOLOGIE</w:t>
      </w:r>
    </w:p>
    <w:p w:rsidR="006F7F0B" w:rsidRPr="001808E5" w:rsidRDefault="006F7F0B" w:rsidP="00E41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5">
        <w:rPr>
          <w:rFonts w:ascii="Times New Roman" w:hAnsi="Times New Roman" w:cs="Times New Roman"/>
          <w:b/>
          <w:sz w:val="24"/>
          <w:szCs w:val="24"/>
        </w:rPr>
        <w:t>PRIVIND EVALUAREA INCIDENTELOR DE INTEGRITATE LA NIVELUL CENTRULUI JUDETEAN PENTRU CONSERVAREA SI PROMOVAREA CULTURII TRADITIONALE ILFOV</w:t>
      </w:r>
    </w:p>
    <w:p w:rsidR="006F7F0B" w:rsidRDefault="006F7F0B" w:rsidP="00180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8E5" w:rsidRDefault="001808E5" w:rsidP="0018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CAPITOLUL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67D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60367D">
        <w:rPr>
          <w:rFonts w:ascii="Times New Roman" w:hAnsi="Times New Roman" w:cs="Times New Roman"/>
          <w:b/>
          <w:sz w:val="24"/>
          <w:szCs w:val="24"/>
        </w:rPr>
        <w:t>dispozitii</w:t>
      </w:r>
      <w:proofErr w:type="spellEnd"/>
      <w:r w:rsidRPr="00603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367D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</w:p>
    <w:p w:rsidR="001808E5" w:rsidRPr="001808E5" w:rsidRDefault="001808E5" w:rsidP="001808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11EB" w:rsidRPr="0007123B" w:rsidRDefault="006F7F0B" w:rsidP="006F7F0B">
      <w:pPr>
        <w:jc w:val="both"/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</w:t>
      </w:r>
      <w:r w:rsidR="00E711EB" w:rsidRPr="00071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Domeniu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aplicare</w:t>
      </w:r>
      <w:proofErr w:type="spellEnd"/>
    </w:p>
    <w:p w:rsidR="001808E5" w:rsidRPr="0007123B" w:rsidRDefault="00371682" w:rsidP="006F7F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incidentelor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Ilfov</w:t>
      </w:r>
      <w:proofErr w:type="spellEnd"/>
      <w:r w:rsidR="00E711E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E711EB" w:rsidRPr="0007123B" w:rsidRDefault="001808E5" w:rsidP="00E711EB">
      <w:pPr>
        <w:jc w:val="both"/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ART. 2.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Definiții</w:t>
      </w:r>
      <w:proofErr w:type="spellEnd"/>
    </w:p>
    <w:p w:rsidR="00E711EB" w:rsidRPr="0007123B" w:rsidRDefault="00E711EB" w:rsidP="00E711EB">
      <w:pPr>
        <w:jc w:val="both"/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sensul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prezentei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termenii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expresiile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jos</w:t>
      </w:r>
      <w:proofErr w:type="spellEnd"/>
      <w:proofErr w:type="gram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semnificații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amenințare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acțiunea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evenimentul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produce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activități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specifice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art. 1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</w:t>
      </w:r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evenimente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angajat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art. 1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încetarea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disciplinară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raporturilor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serviciu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ca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săvârșirii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abateri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normele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deontologice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prevederi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similare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menite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protejeze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funcției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stabilite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legislație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secundară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terțiară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această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sancțiune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trimiterea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judecată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condamnarea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săvârșirea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fapte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legate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nerespectarea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regimului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interdicțiilor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incompatibilităților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conflictului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interese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declarării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averilor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rămânerea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definitivă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act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constatare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emis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Agenția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Națională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referitor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încălcarea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obligațiilor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averile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nejustificate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conflictul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interese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regimul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incompatibilităților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ansamblul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acțiunilor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dispuse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managementul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înlăturării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menținerii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sub control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vulnerabilităților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producerii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incident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preîntâmpinării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producerii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similare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produse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riscurilor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acțiuni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evaluate,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prioritizate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gestionate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intervenție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specifice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vulnerabilitățile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riscurile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dintr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-o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art. 1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grup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lucru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art. 1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care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realizează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obținere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relevante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propunere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probabilitatea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materializare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amenințări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vizând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angajat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un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colectiv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domeniu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determinată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atribuțiile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specifice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natură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producă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un impact cu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obiectivelor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art. 1</w:t>
      </w:r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vulnerabilitate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slăbiciune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reglementare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activităților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care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putea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exploatată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putând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conduce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apariția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fapte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11EB" w:rsidRPr="0007123B" w:rsidRDefault="006F7F0B" w:rsidP="00AC042C">
      <w:pPr>
        <w:ind w:firstLine="720"/>
        <w:jc w:val="both"/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>ART. 3</w:t>
      </w:r>
      <w:r w:rsidRPr="00071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F7135" w:rsidRPr="00071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</w:p>
    <w:p w:rsidR="00E711EB" w:rsidRPr="0007123B" w:rsidRDefault="00E711EB" w:rsidP="00AC042C">
      <w:pPr>
        <w:ind w:firstLine="720"/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are ca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ex-post 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relevante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propunerea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control.</w:t>
      </w:r>
      <w:proofErr w:type="gramEnd"/>
    </w:p>
    <w:p w:rsidR="00E711EB" w:rsidRPr="0007123B" w:rsidRDefault="00E711EB" w:rsidP="00AC042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reprezintă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desfășurată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desemnat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conducătorul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relevante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incidentele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propunerea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control.</w:t>
      </w:r>
    </w:p>
    <w:p w:rsidR="00E711EB" w:rsidRPr="0007123B" w:rsidRDefault="00AC042C" w:rsidP="00DF7135">
      <w:p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b/>
          <w:sz w:val="24"/>
          <w:szCs w:val="24"/>
        </w:rPr>
        <w:t xml:space="preserve">ART. 4.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</w:t>
      </w:r>
    </w:p>
    <w:p w:rsidR="00AC042C" w:rsidRPr="0007123B" w:rsidRDefault="00E711EB" w:rsidP="00DF71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se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prelucrează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exclusiv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scopului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acestei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metodologii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AC042C" w:rsidRPr="0007123B" w:rsidRDefault="00AC042C" w:rsidP="00AC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 xml:space="preserve">CAPITOLUL II – </w:t>
      </w:r>
      <w:proofErr w:type="spellStart"/>
      <w:r w:rsidRPr="0007123B">
        <w:rPr>
          <w:rFonts w:ascii="Times New Roman" w:hAnsi="Times New Roman" w:cs="Times New Roman"/>
          <w:b/>
          <w:sz w:val="24"/>
          <w:szCs w:val="24"/>
        </w:rPr>
        <w:t>etape</w:t>
      </w:r>
      <w:proofErr w:type="spellEnd"/>
      <w:r w:rsidRPr="0007123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7123B">
        <w:rPr>
          <w:rFonts w:ascii="Times New Roman" w:hAnsi="Times New Roman" w:cs="Times New Roman"/>
          <w:b/>
          <w:sz w:val="24"/>
          <w:szCs w:val="24"/>
        </w:rPr>
        <w:t>evaluarea</w:t>
      </w:r>
      <w:proofErr w:type="spellEnd"/>
      <w:r w:rsidRPr="00071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23B">
        <w:rPr>
          <w:rFonts w:ascii="Times New Roman" w:hAnsi="Times New Roman" w:cs="Times New Roman"/>
          <w:b/>
          <w:sz w:val="24"/>
          <w:szCs w:val="24"/>
        </w:rPr>
        <w:t>incidentelor</w:t>
      </w:r>
      <w:proofErr w:type="spellEnd"/>
      <w:r w:rsidRPr="0007123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7123B">
        <w:rPr>
          <w:rFonts w:ascii="Times New Roman" w:hAnsi="Times New Roman" w:cs="Times New Roman"/>
          <w:b/>
          <w:sz w:val="24"/>
          <w:szCs w:val="24"/>
        </w:rPr>
        <w:t>integritate</w:t>
      </w:r>
      <w:proofErr w:type="spellEnd"/>
    </w:p>
    <w:p w:rsidR="00E711EB" w:rsidRPr="0007123B" w:rsidRDefault="00AC042C" w:rsidP="00E711EB">
      <w:pPr>
        <w:jc w:val="both"/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sz w:val="24"/>
          <w:szCs w:val="24"/>
        </w:rPr>
        <w:tab/>
      </w:r>
      <w:r w:rsidR="00E711EB" w:rsidRPr="0007123B">
        <w:rPr>
          <w:rFonts w:ascii="Times New Roman" w:hAnsi="Times New Roman" w:cs="Times New Roman"/>
          <w:b/>
          <w:sz w:val="24"/>
          <w:szCs w:val="24"/>
        </w:rPr>
        <w:t xml:space="preserve">ART 5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Desemnarea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responsabilului</w:t>
      </w:r>
      <w:proofErr w:type="spellEnd"/>
    </w:p>
    <w:p w:rsidR="00E711EB" w:rsidRPr="0007123B" w:rsidRDefault="00E711EB" w:rsidP="00E711EB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Conducătorul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desemnează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act intern,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incidentelor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11EB" w:rsidRPr="0007123B" w:rsidRDefault="00E31431" w:rsidP="00E711EB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</w:t>
      </w:r>
      <w:r w:rsidR="00E711EB"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E711EB"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desfășoară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activități</w:t>
      </w:r>
      <w:proofErr w:type="spellEnd"/>
      <w:r w:rsidR="00E711EB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analiza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711EB" w:rsidRPr="0007123B" w:rsidRDefault="00E711EB" w:rsidP="00E711EB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propunerea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control.</w:t>
      </w:r>
    </w:p>
    <w:p w:rsidR="00E711EB" w:rsidRPr="0007123B" w:rsidRDefault="00AC042C" w:rsidP="00E711EB">
      <w:pPr>
        <w:spacing w:after="0"/>
        <w:ind w:left="72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>ART. 6</w:t>
      </w:r>
      <w:r w:rsidR="008B3CB9" w:rsidRPr="0007123B">
        <w:rPr>
          <w:rFonts w:ascii="Times New Roman" w:hAnsi="Times New Roman" w:cs="Times New Roman"/>
          <w:b/>
          <w:sz w:val="24"/>
          <w:szCs w:val="24"/>
        </w:rPr>
        <w:t>.</w:t>
      </w:r>
      <w:r w:rsidR="00E711EB" w:rsidRPr="0007123B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711EB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</w:p>
    <w:p w:rsidR="0060367D" w:rsidRPr="0007123B" w:rsidRDefault="0060367D" w:rsidP="00E711EB">
      <w:pPr>
        <w:spacing w:after="0"/>
        <w:ind w:left="720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0367D" w:rsidRPr="0007123B" w:rsidRDefault="00E711EB" w:rsidP="0060367D">
      <w:pPr>
        <w:spacing w:after="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Conducerea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compartimentul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resurse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umane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structuri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dețin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dispunerea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incident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sesizează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transmit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procedurii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30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luarea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cunoștință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11EB" w:rsidRPr="0007123B" w:rsidRDefault="00E711EB" w:rsidP="00603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23B">
        <w:rPr>
          <w:rStyle w:val="salntt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(2)</w:t>
      </w:r>
      <w:r w:rsidRPr="0007123B">
        <w:rPr>
          <w:rStyle w:val="sa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apreciază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Direcției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Anticorupție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Parchetului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lângă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Înalta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Curte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Casație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Justiție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altor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autorități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dețin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42935" w:rsidRPr="0007123B" w:rsidRDefault="00342935" w:rsidP="008B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67D" w:rsidRPr="0007123B" w:rsidRDefault="00AC042C" w:rsidP="0060367D">
      <w:p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ab/>
        <w:t xml:space="preserve">ART. 7. </w:t>
      </w:r>
      <w:proofErr w:type="spellStart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Conținutul</w:t>
      </w:r>
      <w:proofErr w:type="spellEnd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analizei</w:t>
      </w:r>
      <w:proofErr w:type="spellEnd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incidentelor</w:t>
      </w:r>
      <w:proofErr w:type="spellEnd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0367D" w:rsidRPr="0007123B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</w:p>
    <w:p w:rsidR="0060367D" w:rsidRPr="0007123B" w:rsidRDefault="0060367D" w:rsidP="0060367D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are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vedere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precădere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aspecte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tipul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eveniment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constituie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intervenit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funcția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persoanei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l-a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săvârșit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fapt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modul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operare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legislativ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aplicabil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procedurile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interne din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relevante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analizat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cauzele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amenințările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vulnerabilitățile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riscurilor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aferente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durata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procedurii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cercetare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faptelor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constituie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abatere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disciplinară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sancțiuni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disciplinare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administrative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penale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aplicate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efectele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raporturilor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persoanei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săvârșit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0367D" w:rsidRPr="0007123B" w:rsidRDefault="0060367D" w:rsidP="0060367D">
      <w:pPr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07123B">
        <w:rPr>
          <w:rStyle w:val="sli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07123B">
        <w:rPr>
          <w:rStyle w:val="slit"/>
          <w:rFonts w:ascii="Times New Roman" w:hAnsi="Times New Roman" w:cs="Times New Roman"/>
          <w:color w:val="000000" w:themeColor="text1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impactul</w:t>
      </w:r>
      <w:proofErr w:type="spellEnd"/>
      <w:proofErr w:type="gram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activității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367D" w:rsidRPr="0007123B" w:rsidRDefault="0060367D" w:rsidP="0060367D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obținute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întocmește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incident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produs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cuprinzând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informațiile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 (1)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propuneri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apariției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incident similar,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termenul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propuse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367D" w:rsidRPr="0007123B" w:rsidRDefault="0060367D" w:rsidP="0060367D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(3)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menționat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 (2)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transmite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aprobare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conducerii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E25C2" w:rsidRPr="0007123B" w:rsidRDefault="0060367D" w:rsidP="006036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(4)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ipoteza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5 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(2)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incidentului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comunică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structurii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avut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loc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incidentul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7123B" w:rsidRPr="0007123B" w:rsidRDefault="001E25C2" w:rsidP="0007123B">
      <w:pPr>
        <w:jc w:val="both"/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 xml:space="preserve">ART. 8.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Verificarea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implementării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recomandărilor</w:t>
      </w:r>
      <w:proofErr w:type="spellEnd"/>
    </w:p>
    <w:p w:rsidR="00087A4A" w:rsidRPr="0007123B" w:rsidRDefault="0007123B" w:rsidP="000712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Conducerea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="00E31431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dispune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verificarea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periodică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modului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realizare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aprobate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conform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7 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(3)</w:t>
      </w:r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informarea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responsabilului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87A4A" w:rsidRPr="0007123B" w:rsidRDefault="00087A4A" w:rsidP="00087A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 xml:space="preserve">CAPITOLUL III-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finale</w:t>
      </w:r>
    </w:p>
    <w:p w:rsidR="0007123B" w:rsidRPr="0007123B" w:rsidRDefault="0007123B" w:rsidP="0008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23B" w:rsidRPr="0007123B" w:rsidRDefault="00087A4A" w:rsidP="00087A4A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b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 xml:space="preserve">ART. 9.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Raportarea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Secretariatul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tehnic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Strategiei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naționale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anticorupție</w:t>
      </w:r>
      <w:proofErr w:type="spellEnd"/>
    </w:p>
    <w:p w:rsidR="0007123B" w:rsidRPr="0007123B" w:rsidRDefault="0007123B" w:rsidP="00087A4A">
      <w:pPr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implementarea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metodologiei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elaborează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anual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incidentelor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care se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conducerea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site-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Secretariatul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tehnic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Strategiei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anticorupție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data de 31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martie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anului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Conținutul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raportului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E31431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07123B">
        <w:rPr>
          <w:rStyle w:val="sal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7123B" w:rsidRPr="0007123B" w:rsidRDefault="00087A4A" w:rsidP="0007123B">
      <w:pPr>
        <w:jc w:val="both"/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Fonts w:ascii="Times New Roman" w:hAnsi="Times New Roman" w:cs="Times New Roman"/>
          <w:sz w:val="24"/>
          <w:szCs w:val="24"/>
        </w:rPr>
        <w:tab/>
        <w:t xml:space="preserve">ART. 10.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Valorificarea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riscurilor</w:t>
      </w:r>
      <w:proofErr w:type="spellEnd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123B" w:rsidRPr="0007123B">
        <w:rPr>
          <w:rStyle w:val="spa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</w:p>
    <w:p w:rsidR="0007123B" w:rsidRPr="0007123B" w:rsidRDefault="0007123B" w:rsidP="0007123B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(1)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cuprinse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raportul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menționat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7 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(2)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</w:t>
      </w:r>
      <w:proofErr w:type="gram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valorifică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riscurilor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corupție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desfășurat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7123B" w:rsidRPr="0007123B" w:rsidRDefault="0007123B" w:rsidP="0007123B">
      <w:pPr>
        <w:jc w:val="both"/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7123B">
        <w:rPr>
          <w:rStyle w:val="salntt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(2)</w:t>
      </w:r>
      <w:r w:rsidRPr="0007123B">
        <w:rPr>
          <w:rStyle w:val="sa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Planul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Centrului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Judetean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Conservarea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Promovarea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Culturii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Traditionale</w:t>
      </w:r>
      <w:proofErr w:type="spellEnd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1431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Ilfov</w:t>
      </w:r>
      <w:proofErr w:type="spellEnd"/>
      <w:r w:rsidR="00E31431"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actualizează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corespunzător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prevenire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control </w:t>
      </w:r>
      <w:proofErr w:type="spellStart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menționate</w:t>
      </w:r>
      <w:proofErr w:type="spellEnd"/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7 </w:t>
      </w:r>
      <w:proofErr w:type="spellStart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alin</w:t>
      </w:r>
      <w:proofErr w:type="spell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Pr="0007123B">
        <w:rPr>
          <w:rStyle w:val="slgi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(2)</w:t>
      </w:r>
      <w:r w:rsidRPr="0007123B">
        <w:rPr>
          <w:rStyle w:val="sal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D41B3" w:rsidRPr="0007123B" w:rsidRDefault="008D41B3" w:rsidP="00087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B3" w:rsidRPr="0007123B" w:rsidRDefault="008D41B3" w:rsidP="00087A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23B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071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23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0712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123B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028" w:rsidRPr="0007123B">
        <w:rPr>
          <w:rFonts w:ascii="Times New Roman" w:hAnsi="Times New Roman" w:cs="Times New Roman"/>
          <w:sz w:val="24"/>
          <w:szCs w:val="24"/>
        </w:rPr>
        <w:t>a</w:t>
      </w:r>
      <w:r w:rsidRPr="0007123B">
        <w:rPr>
          <w:rFonts w:ascii="Times New Roman" w:hAnsi="Times New Roman" w:cs="Times New Roman"/>
          <w:sz w:val="24"/>
          <w:szCs w:val="24"/>
        </w:rPr>
        <w:t>nual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incidentelor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23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7123B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incidentelor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123B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7123B">
        <w:rPr>
          <w:rFonts w:ascii="Times New Roman" w:hAnsi="Times New Roman" w:cs="Times New Roman"/>
          <w:sz w:val="24"/>
          <w:szCs w:val="24"/>
        </w:rPr>
        <w:t>.</w:t>
      </w:r>
    </w:p>
    <w:p w:rsidR="008D41B3" w:rsidRPr="00BF5BF7" w:rsidRDefault="008D41B3" w:rsidP="00087A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80B" w:rsidRPr="00E4180B" w:rsidRDefault="00E4180B" w:rsidP="003D5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  <w:r w:rsidRPr="00E4180B">
        <w:rPr>
          <w:rFonts w:ascii="Times New Roman" w:hAnsi="Times New Roman" w:cs="Times New Roman"/>
          <w:b/>
          <w:sz w:val="24"/>
          <w:szCs w:val="24"/>
        </w:rPr>
        <w:tab/>
      </w:r>
    </w:p>
    <w:p w:rsidR="00F005A9" w:rsidRPr="008B3CB9" w:rsidRDefault="00F005A9" w:rsidP="008B3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7F0B" w:rsidRPr="006F7F0B" w:rsidRDefault="006F7F0B" w:rsidP="006F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F7F0B" w:rsidRPr="006F7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DFD"/>
    <w:multiLevelType w:val="hybridMultilevel"/>
    <w:tmpl w:val="121E7F54"/>
    <w:lvl w:ilvl="0" w:tplc="DB46BF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9438D"/>
    <w:multiLevelType w:val="hybridMultilevel"/>
    <w:tmpl w:val="A240E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FA0"/>
    <w:multiLevelType w:val="hybridMultilevel"/>
    <w:tmpl w:val="62FC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C0735"/>
    <w:multiLevelType w:val="hybridMultilevel"/>
    <w:tmpl w:val="5622EACC"/>
    <w:lvl w:ilvl="0" w:tplc="2D2AE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6535FF"/>
    <w:multiLevelType w:val="hybridMultilevel"/>
    <w:tmpl w:val="5812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33748"/>
    <w:multiLevelType w:val="hybridMultilevel"/>
    <w:tmpl w:val="9E34C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5411A"/>
    <w:multiLevelType w:val="hybridMultilevel"/>
    <w:tmpl w:val="A43E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0B"/>
    <w:rsid w:val="000062B0"/>
    <w:rsid w:val="0007123B"/>
    <w:rsid w:val="00087A4A"/>
    <w:rsid w:val="00105077"/>
    <w:rsid w:val="001808E5"/>
    <w:rsid w:val="001E25C2"/>
    <w:rsid w:val="00342935"/>
    <w:rsid w:val="00371682"/>
    <w:rsid w:val="003D5B80"/>
    <w:rsid w:val="003E4DAD"/>
    <w:rsid w:val="004E2B76"/>
    <w:rsid w:val="00507308"/>
    <w:rsid w:val="00541EBF"/>
    <w:rsid w:val="0060367D"/>
    <w:rsid w:val="006F7F0B"/>
    <w:rsid w:val="00831028"/>
    <w:rsid w:val="00836D89"/>
    <w:rsid w:val="008B3CB9"/>
    <w:rsid w:val="008D41B3"/>
    <w:rsid w:val="009B321B"/>
    <w:rsid w:val="00AC042C"/>
    <w:rsid w:val="00AF6159"/>
    <w:rsid w:val="00BF5BF7"/>
    <w:rsid w:val="00C664EF"/>
    <w:rsid w:val="00DF7135"/>
    <w:rsid w:val="00E31431"/>
    <w:rsid w:val="00E4180B"/>
    <w:rsid w:val="00E711EB"/>
    <w:rsid w:val="00EE6FD7"/>
    <w:rsid w:val="00F0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AD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E711EB"/>
  </w:style>
  <w:style w:type="character" w:customStyle="1" w:styleId="slit">
    <w:name w:val="s_lit"/>
    <w:basedOn w:val="DefaultParagraphFont"/>
    <w:rsid w:val="00E711EB"/>
  </w:style>
  <w:style w:type="character" w:customStyle="1" w:styleId="slitttl">
    <w:name w:val="s_lit_ttl"/>
    <w:basedOn w:val="DefaultParagraphFont"/>
    <w:rsid w:val="00E711EB"/>
  </w:style>
  <w:style w:type="character" w:customStyle="1" w:styleId="slitbdy">
    <w:name w:val="s_lit_bdy"/>
    <w:basedOn w:val="DefaultParagraphFont"/>
    <w:rsid w:val="00E711EB"/>
  </w:style>
  <w:style w:type="character" w:customStyle="1" w:styleId="slgi">
    <w:name w:val="s_lgi"/>
    <w:basedOn w:val="DefaultParagraphFont"/>
    <w:rsid w:val="00E711EB"/>
  </w:style>
  <w:style w:type="character" w:customStyle="1" w:styleId="saln">
    <w:name w:val="s_aln"/>
    <w:basedOn w:val="DefaultParagraphFont"/>
    <w:rsid w:val="00E711EB"/>
  </w:style>
  <w:style w:type="character" w:customStyle="1" w:styleId="salnttl">
    <w:name w:val="s_aln_ttl"/>
    <w:basedOn w:val="DefaultParagraphFont"/>
    <w:rsid w:val="00E711EB"/>
  </w:style>
  <w:style w:type="character" w:customStyle="1" w:styleId="salnbdy">
    <w:name w:val="s_aln_bdy"/>
    <w:basedOn w:val="DefaultParagraphFont"/>
    <w:rsid w:val="00E7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AD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E711EB"/>
  </w:style>
  <w:style w:type="character" w:customStyle="1" w:styleId="slit">
    <w:name w:val="s_lit"/>
    <w:basedOn w:val="DefaultParagraphFont"/>
    <w:rsid w:val="00E711EB"/>
  </w:style>
  <w:style w:type="character" w:customStyle="1" w:styleId="slitttl">
    <w:name w:val="s_lit_ttl"/>
    <w:basedOn w:val="DefaultParagraphFont"/>
    <w:rsid w:val="00E711EB"/>
  </w:style>
  <w:style w:type="character" w:customStyle="1" w:styleId="slitbdy">
    <w:name w:val="s_lit_bdy"/>
    <w:basedOn w:val="DefaultParagraphFont"/>
    <w:rsid w:val="00E711EB"/>
  </w:style>
  <w:style w:type="character" w:customStyle="1" w:styleId="slgi">
    <w:name w:val="s_lgi"/>
    <w:basedOn w:val="DefaultParagraphFont"/>
    <w:rsid w:val="00E711EB"/>
  </w:style>
  <w:style w:type="character" w:customStyle="1" w:styleId="saln">
    <w:name w:val="s_aln"/>
    <w:basedOn w:val="DefaultParagraphFont"/>
    <w:rsid w:val="00E711EB"/>
  </w:style>
  <w:style w:type="character" w:customStyle="1" w:styleId="salnttl">
    <w:name w:val="s_aln_ttl"/>
    <w:basedOn w:val="DefaultParagraphFont"/>
    <w:rsid w:val="00E711EB"/>
  </w:style>
  <w:style w:type="character" w:customStyle="1" w:styleId="salnbdy">
    <w:name w:val="s_aln_bdy"/>
    <w:basedOn w:val="DefaultParagraphFont"/>
    <w:rsid w:val="00E7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9D10-B169-4EB7-A200-8315AD81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40761639718</cp:lastModifiedBy>
  <cp:revision>2</cp:revision>
  <cp:lastPrinted>2023-07-21T10:25:00Z</cp:lastPrinted>
  <dcterms:created xsi:type="dcterms:W3CDTF">2025-08-28T08:10:00Z</dcterms:created>
  <dcterms:modified xsi:type="dcterms:W3CDTF">2025-08-28T08:10:00Z</dcterms:modified>
</cp:coreProperties>
</file>